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51669" w14:textId="2780D841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2427C9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50347A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2427C9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1E1809" w:rsidRPr="001E1809">
        <w:rPr>
          <w:rFonts w:ascii="Arial" w:eastAsia="MS Mincho" w:hAnsi="Arial"/>
          <w:b/>
          <w:sz w:val="24"/>
          <w:szCs w:val="24"/>
          <w:lang w:eastAsia="x-none"/>
        </w:rPr>
        <w:t>191592</w:t>
      </w:r>
      <w:r w:rsidR="005E5EAA">
        <w:rPr>
          <w:rFonts w:ascii="Arial" w:eastAsia="MS Mincho" w:hAnsi="Arial"/>
          <w:b/>
          <w:sz w:val="24"/>
          <w:szCs w:val="24"/>
          <w:lang w:eastAsia="x-none"/>
        </w:rPr>
        <w:t>1</w:t>
      </w:r>
      <w:bookmarkStart w:id="0" w:name="_GoBack"/>
      <w:bookmarkEnd w:id="0"/>
    </w:p>
    <w:p w14:paraId="71BE4B74" w14:textId="09154808" w:rsidR="002427C9" w:rsidRDefault="0050347A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noProof/>
          <w:lang w:val="en-US"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>, 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2427C9" w:rsidRPr="002427C9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2427C9" w:rsidRPr="002427C9">
        <w:rPr>
          <w:rFonts w:ascii="Arial" w:hAnsi="Arial"/>
          <w:b/>
          <w:noProof/>
          <w:lang w:val="en-US" w:eastAsia="ko-KR"/>
        </w:rPr>
        <w:t>(Revision</w:t>
      </w:r>
      <w:r w:rsidR="002427C9" w:rsidRPr="002427C9">
        <w:rPr>
          <w:rFonts w:ascii="Arial" w:hAnsi="Arial" w:hint="eastAsia"/>
          <w:b/>
          <w:noProof/>
          <w:lang w:val="en-US" w:eastAsia="ko-KR"/>
        </w:rPr>
        <w:t xml:space="preserve"> of </w:t>
      </w:r>
      <w:r w:rsidR="002427C9" w:rsidRPr="002427C9">
        <w:rPr>
          <w:rFonts w:ascii="Arial" w:hAnsi="Arial"/>
          <w:b/>
          <w:i/>
          <w:noProof/>
          <w:lang w:val="en-US" w:eastAsia="ko-KR"/>
        </w:rPr>
        <w:t>R2-19</w:t>
      </w:r>
      <w:r>
        <w:rPr>
          <w:rFonts w:ascii="Arial" w:hAnsi="Arial"/>
          <w:b/>
          <w:i/>
          <w:noProof/>
          <w:lang w:val="en-US" w:eastAsia="ko-KR"/>
        </w:rPr>
        <w:t>13131</w:t>
      </w:r>
      <w:r w:rsidR="002427C9" w:rsidRPr="002427C9">
        <w:rPr>
          <w:rFonts w:ascii="Arial" w:hAnsi="Arial"/>
          <w:b/>
          <w:noProof/>
          <w:lang w:val="en-US" w:eastAsia="ko-KR"/>
        </w:rPr>
        <w:t>)</w:t>
      </w:r>
    </w:p>
    <w:p w14:paraId="50478C41" w14:textId="77777777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D44FB0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6.2.1.7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1E5CA0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Dynamic </w:t>
      </w:r>
      <w:r w:rsidR="00E6640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DL opportunity enhancement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4952" w14:paraId="7609BF7C" w14:textId="77777777" w:rsidTr="00824952">
        <w:tc>
          <w:tcPr>
            <w:tcW w:w="9631" w:type="dxa"/>
          </w:tcPr>
          <w:p w14:paraId="2FCABB88" w14:textId="77777777" w:rsidR="00824952" w:rsidRPr="001523B6" w:rsidRDefault="00824952" w:rsidP="00824952">
            <w:pPr>
              <w:pStyle w:val="5"/>
              <w:ind w:leftChars="32" w:left="564" w:hangingChars="250" w:hanging="500"/>
              <w:outlineLvl w:val="4"/>
              <w:rPr>
                <w:i/>
              </w:rPr>
            </w:pPr>
            <w:bookmarkStart w:id="1" w:name="_Toc531343014"/>
            <w:r w:rsidRPr="001523B6">
              <w:rPr>
                <w:i/>
              </w:rPr>
              <w:t xml:space="preserve">7.2.1.3.2  </w:t>
            </w:r>
            <w:r w:rsidRPr="001523B6">
              <w:rPr>
                <w:i/>
              </w:rPr>
              <w:tab/>
              <w:t>Initial access and mobility</w:t>
            </w:r>
            <w:bookmarkEnd w:id="1"/>
          </w:p>
          <w:p w14:paraId="0F8927DA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 xml:space="preserve">For initial access and mobility procedures, the main issue identified for NR operation in unlicensed band is the reduced transmission opportunities for different signals and channels due to LBT failure. </w:t>
            </w:r>
          </w:p>
          <w:p w14:paraId="1BCA88B3" w14:textId="77777777" w:rsidR="00824952" w:rsidRPr="00A00724" w:rsidRDefault="00824952" w:rsidP="00824952">
            <w:pPr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The following modifications to initial access procedures have been identified as beneficial:</w:t>
            </w:r>
          </w:p>
          <w:p w14:paraId="43EAFED6" w14:textId="77777777" w:rsidR="00824952" w:rsidRPr="00A00724" w:rsidRDefault="00824952" w:rsidP="00824952">
            <w:pPr>
              <w:pStyle w:val="B1"/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>Modifications to initial access procedures considering limitations on access to the channel based on LBT. NR-U needs to develop techniques to handle reduced SS/PBCH block and RMSI transmission opportunities due to LBT failure.</w:t>
            </w:r>
          </w:p>
          <w:p w14:paraId="293F4058" w14:textId="77777777" w:rsidR="00824952" w:rsidRPr="00A00724" w:rsidRDefault="00824952" w:rsidP="00824952">
            <w:pPr>
              <w:pStyle w:val="B1"/>
              <w:rPr>
                <w:i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 xml:space="preserve">Enhancement to 4-step RACH, including developing mechanisms to handle reduced </w:t>
            </w:r>
            <w:proofErr w:type="spellStart"/>
            <w:r w:rsidRPr="00A00724">
              <w:rPr>
                <w:i/>
                <w:highlight w:val="yellow"/>
              </w:rPr>
              <w:t>msg</w:t>
            </w:r>
            <w:proofErr w:type="spellEnd"/>
            <w:r w:rsidRPr="00A00724">
              <w:rPr>
                <w:i/>
                <w:highlight w:val="yellow"/>
              </w:rPr>
              <w:t xml:space="preserve"> 1/2/3/4 transmission opportunities due to LBT failure.</w:t>
            </w:r>
            <w:r w:rsidRPr="00A00724">
              <w:rPr>
                <w:i/>
              </w:rPr>
              <w:t xml:space="preserve"> </w:t>
            </w:r>
          </w:p>
          <w:p w14:paraId="7A943952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>It is also identified that a 2-step RACH procedure potentially has benefit for channel access.</w:t>
            </w:r>
          </w:p>
          <w:p w14:paraId="55B0ADD6" w14:textId="2367F853" w:rsidR="00824952" w:rsidRDefault="00824952" w:rsidP="00824952">
            <w:r w:rsidRPr="00A00724">
              <w:rPr>
                <w:i/>
                <w:highlight w:val="yellow"/>
              </w:rPr>
              <w:t>For SS/PBCH block transmission, it is recommended to define a mechanism to transmit SS/PBCH blocks dropped due to LBT failure.</w:t>
            </w:r>
            <w:r w:rsidRPr="00A00724">
              <w:rPr>
                <w:i/>
              </w:rPr>
      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      </w:r>
          </w:p>
        </w:tc>
      </w:tr>
    </w:tbl>
    <w:p w14:paraId="6D21EDA1" w14:textId="5FE5F769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</w:t>
      </w:r>
      <w:r w:rsidR="00E84D95" w:rsidRPr="00E84D95">
        <w:t xml:space="preserve">to </w:t>
      </w:r>
      <w:r w:rsidR="00E6640C">
        <w:t xml:space="preserve">dynamically </w:t>
      </w:r>
      <w:r w:rsidR="00E84D95" w:rsidRPr="00E84D95">
        <w:t xml:space="preserve">enhance </w:t>
      </w:r>
      <w:r w:rsidR="00E84D95" w:rsidRPr="00E84D95">
        <w:rPr>
          <w:lang w:eastAsia="ko-KR"/>
        </w:rPr>
        <w:t xml:space="preserve">DL opportunities based on the channel busy level measured by both UE and </w:t>
      </w:r>
      <w:proofErr w:type="spellStart"/>
      <w:r w:rsidR="00E84D95" w:rsidRPr="00E84D95">
        <w:rPr>
          <w:lang w:eastAsia="ko-KR"/>
        </w:rPr>
        <w:t>gNB</w:t>
      </w:r>
      <w:proofErr w:type="spellEnd"/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 xml:space="preserve">, the </w:t>
      </w:r>
      <w:proofErr w:type="spellStart"/>
      <w:r w:rsidR="00135DCD" w:rsidRPr="003D0D57">
        <w:t>gNB</w:t>
      </w:r>
      <w:proofErr w:type="spellEnd"/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transmitted from the </w:t>
      </w:r>
      <w:proofErr w:type="spellStart"/>
      <w:r w:rsidR="002852E3">
        <w:rPr>
          <w:lang w:eastAsia="ko-KR"/>
        </w:rPr>
        <w:t>gNB</w:t>
      </w:r>
      <w:proofErr w:type="spellEnd"/>
      <w:r w:rsidR="002852E3">
        <w:rPr>
          <w:lang w:eastAsia="ko-KR"/>
        </w:rPr>
        <w:t>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 xml:space="preserve">a </w:t>
      </w:r>
      <w:proofErr w:type="spellStart"/>
      <w:r w:rsidR="00536D04">
        <w:rPr>
          <w:lang w:eastAsia="ko-KR"/>
        </w:rPr>
        <w:t>gNB</w:t>
      </w:r>
      <w:proofErr w:type="spellEnd"/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 xml:space="preserve">ues depending on the channel condition of unlicensed band, </w:t>
      </w:r>
      <w:proofErr w:type="spellStart"/>
      <w:r w:rsidR="00536D04">
        <w:rPr>
          <w:lang w:eastAsia="ko-KR"/>
        </w:rPr>
        <w:t>gNB</w:t>
      </w:r>
      <w:proofErr w:type="spellEnd"/>
      <w:r w:rsidR="00536D04">
        <w:rPr>
          <w:lang w:eastAsia="ko-KR"/>
        </w:rPr>
        <w:t xml:space="preserve">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 xml:space="preserve">the </w:t>
      </w:r>
      <w:proofErr w:type="spellStart"/>
      <w:r w:rsidR="00506FE6">
        <w:t>gNB</w:t>
      </w:r>
      <w:proofErr w:type="spellEnd"/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lastRenderedPageBreak/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07302C0C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 xml:space="preserve">the number of </w:t>
      </w:r>
      <w:r w:rsidR="00E624F2">
        <w:rPr>
          <w:i/>
          <w:lang w:eastAsia="ko-KR"/>
        </w:rPr>
        <w:t>MSG1 opportunities</w:t>
      </w:r>
      <w:r w:rsidR="00980C9D" w:rsidRPr="00980C9D">
        <w:rPr>
          <w:i/>
          <w:lang w:eastAsia="ko-KR"/>
        </w:rPr>
        <w:t>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</w:t>
      </w:r>
      <w:r w:rsidR="00E6640C">
        <w:rPr>
          <w:lang w:eastAsia="ko-KR"/>
        </w:rPr>
        <w:t xml:space="preserve"> It can also be applied to the other procedures requiring the DL opportunity enhancement.</w:t>
      </w:r>
      <w:r w:rsidR="00980C9D">
        <w:rPr>
          <w:lang w:eastAsia="ko-KR"/>
        </w:rPr>
        <w:t xml:space="preserve"> </w:t>
      </w:r>
      <w:r w:rsidR="00E6640C">
        <w:rPr>
          <w:lang w:eastAsia="ko-KR"/>
        </w:rPr>
        <w:t>Therefore, we suggest that RAN2 enhance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 xml:space="preserve">the </w:t>
      </w:r>
      <w:r w:rsidR="00E6640C">
        <w:rPr>
          <w:lang w:eastAsia="ko-KR"/>
        </w:rPr>
        <w:t xml:space="preserve">DL opportunity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 xml:space="preserve">measured by both UE and </w:t>
      </w:r>
      <w:proofErr w:type="spellStart"/>
      <w:r w:rsidR="001B64A2" w:rsidRPr="001B64A2">
        <w:rPr>
          <w:lang w:eastAsia="ko-KR"/>
        </w:rPr>
        <w:t>gNB</w:t>
      </w:r>
      <w:proofErr w:type="spellEnd"/>
      <w:r w:rsidR="001B64A2" w:rsidRPr="001B64A2">
        <w:rPr>
          <w:lang w:eastAsia="ko-KR"/>
        </w:rPr>
        <w:t>.</w:t>
      </w:r>
    </w:p>
    <w:p w14:paraId="3B122BE0" w14:textId="309D2A2F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>RAN2 enhance</w:t>
      </w:r>
      <w:r w:rsidR="00E6640C">
        <w:rPr>
          <w:b/>
        </w:rPr>
        <w:t xml:space="preserve"> the</w:t>
      </w:r>
      <w:r w:rsidR="00980C9D" w:rsidRPr="00980C9D">
        <w:rPr>
          <w:b/>
        </w:rPr>
        <w:t xml:space="preserve"> </w:t>
      </w:r>
      <w:r w:rsidR="00E6640C">
        <w:rPr>
          <w:b/>
        </w:rPr>
        <w:t>DL opportunity</w:t>
      </w:r>
      <w:r w:rsidR="00980C9D" w:rsidRPr="00980C9D">
        <w:rPr>
          <w:b/>
        </w:rPr>
        <w:t xml:space="preserve">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</w:t>
      </w:r>
      <w:proofErr w:type="spellStart"/>
      <w:r w:rsidR="00980C9D" w:rsidRPr="00980C9D">
        <w:rPr>
          <w:b/>
        </w:rPr>
        <w:t>gNB</w:t>
      </w:r>
      <w:proofErr w:type="spellEnd"/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6B345752" w14:textId="77777777" w:rsidR="00E6640C" w:rsidRDefault="00E6640C" w:rsidP="00E6640C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>RAN2 enhance</w:t>
      </w:r>
      <w:r>
        <w:rPr>
          <w:b/>
        </w:rPr>
        <w:t xml:space="preserve"> the</w:t>
      </w:r>
      <w:r w:rsidRPr="00980C9D">
        <w:rPr>
          <w:b/>
        </w:rPr>
        <w:t xml:space="preserve"> </w:t>
      </w:r>
      <w:r>
        <w:rPr>
          <w:b/>
        </w:rPr>
        <w:t>DL opportunity</w:t>
      </w:r>
      <w:r w:rsidRPr="00980C9D">
        <w:rPr>
          <w:b/>
        </w:rPr>
        <w:t xml:space="preserve">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</w:t>
      </w:r>
      <w:proofErr w:type="spellStart"/>
      <w:r w:rsidRPr="00980C9D">
        <w:rPr>
          <w:b/>
        </w:rPr>
        <w:t>gNB</w:t>
      </w:r>
      <w:proofErr w:type="spellEnd"/>
      <w:r>
        <w:rPr>
          <w:b/>
        </w:rPr>
        <w:t>.</w:t>
      </w:r>
    </w:p>
    <w:p w14:paraId="62052EA9" w14:textId="3234D961" w:rsidR="00596479" w:rsidRPr="00E6640C" w:rsidRDefault="00596479" w:rsidP="00980C9D">
      <w:pPr>
        <w:spacing w:after="120"/>
        <w:rPr>
          <w:b/>
        </w:rPr>
      </w:pPr>
    </w:p>
    <w:sectPr w:rsidR="00596479" w:rsidRPr="00E664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736E2" w14:textId="77777777" w:rsidR="004D1837" w:rsidRDefault="004D1837">
      <w:pPr>
        <w:spacing w:after="0"/>
      </w:pPr>
      <w:r>
        <w:separator/>
      </w:r>
    </w:p>
  </w:endnote>
  <w:endnote w:type="continuationSeparator" w:id="0">
    <w:p w14:paraId="696BAE06" w14:textId="77777777" w:rsidR="004D1837" w:rsidRDefault="004D18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5EAA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89F07" w14:textId="77777777" w:rsidR="004D1837" w:rsidRDefault="004D1837">
      <w:pPr>
        <w:spacing w:after="0"/>
      </w:pPr>
      <w:r>
        <w:separator/>
      </w:r>
    </w:p>
  </w:footnote>
  <w:footnote w:type="continuationSeparator" w:id="0">
    <w:p w14:paraId="6A233E62" w14:textId="77777777" w:rsidR="004D1837" w:rsidRDefault="004D18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4C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809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27C9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1837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347A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5F1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5FAF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5EAA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5F6611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A05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706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952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00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396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463DE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25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6C3B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4F2"/>
    <w:rsid w:val="00E62D11"/>
    <w:rsid w:val="00E630C2"/>
    <w:rsid w:val="00E63EF7"/>
    <w:rsid w:val="00E6640C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796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3AAA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7436F-7381-4103-B91A-1FD3CD54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JaYeong Kim</cp:lastModifiedBy>
  <cp:revision>7</cp:revision>
  <dcterms:created xsi:type="dcterms:W3CDTF">2019-10-02T08:35:00Z</dcterms:created>
  <dcterms:modified xsi:type="dcterms:W3CDTF">2019-11-08T01:44:00Z</dcterms:modified>
</cp:coreProperties>
</file>